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2508.xml.htm"/>
      <w:bookmarkStart w:id="1" w:name="kswkform4_17909725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Gephart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MAGNITE,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1250 BROADWAY,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MAGNITE, INC.</w:t>
              </w:r>
            </w:hyperlink>
            <w:r>
              <w:rPr/>
              <w:t xml:space="preserve"> [ </w:t>
            </w:r>
            <w:r>
              <w:rPr>
                <w:rFonts w:ascii="Times;serif" w:hAnsi="Times;serif"/>
                <w:color w:val="0000FF"/>
                <w:sz w:val="24"/>
                <w:shd w:fill="FFFFFF" w:val="clear"/>
              </w:rPr>
              <w:t>MGNI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64,682</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167,010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that vest as follows: 17,518 on November 15, 2027, 4,043 on each February 15, May 15, August 15, and November 15 thereafter until August 15, 2030 and 2,691 on November 15, 2030, subject to continued service to the Issuer through each vesting date. This equity grant may be subject to accelerated vesting in the event the Reporting Person's employment is terminated under certain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Equity grant under the Company's Amended and Restated 2014 Equity Incentive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Saltz,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8484" TargetMode="External"/><Relationship Id="rId5" Type="http://schemas.openxmlformats.org/officeDocument/2006/relationships/hyperlink" Target="http://www.sec.gov/cgi-bin/browse-edgar?action=getcompany&amp;CIK=0001595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648</Words>
  <Characters>3523</Characters>
  <CharactersWithSpaces>4101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