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972182.xml.htm"/>
      <w:bookmarkStart w:id="1" w:name="kswkform3_1790972182"/>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Sullivan Haas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72,913</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46,584 restricted stock units that vest, subject to the Reporting Person's continued employment, as follows: 4,792 on November 15, 2026; 9,997 on February 15, 2027; 4,430 on May 15, 2027; 4,430 on August 15, 2027; 4,430 on November 15, 2027; 3,805 on February 15, 2028; 2,555 on May 15, 2028; 2,555 on August 15, 2028; 2,555 on November 15, 2028; 2,147 on February 15, 2029; 1,332 on May 15, 2029; 1,332 on August 15, 2029; 1,332 on November 15, 2029; and 892 on February 15,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mgni-poaxhsullivanformid.htm"/>
      <w:bookmarkStart w:id="3" w:name="ksmgnipoaxhsullivanformid"/>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Executing Form ID and Forms 3, 4 and 5) Know all by these presents, that the undersigned hereby constitutes and appoints Aaron Saltz, Elie Tawil and Brian Gephart of Magnite, Inc. (the “Company”), signing individually, as the undersigned’s true and lawful attorneys-in fact and agents to: (1) Prepare, execute in the undersigned’s name and on the undersigned’s behalf, and submit to the Securities and Exchange Commission (the “SEC”) Form ID and Forms 3, 4 and 5 (including amendments thereto and joint filing agreements in connection therewith) in accordance with Section 16(a) of the Securities Exchange Act of 1934, as amended (the “Exchange Act”) and the rules thereunder in the undersigned’s capacity as an officer, director or beneficial owner of more than 10% of a registered class of securities of the Company; (2) Do and perform any and all acts for and on behalf of the undersigned that may be necessary or desirable to prepare and execute any such Form ID or Forms 3, 4 or 5 (including amendments thereto and joint filing agreements in connection therewith) and file such forms with the SEC and any stock exchange, self-regulatory association or any similar authority; and (3)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and their substitutes, in serving in such capacity at the request of the undersigned, are not assuming (nor is the Company assuming) any of the undersigned’s responsibilities to comply with Section 16 of the Exchange Act. This Power of Attorney shall remain in full force and effect until the earliest to occur of (a) the undersigned is no longer required to file Form ID or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IN WITNESS WHEREOF, the undersigned has caused this Power of Attorney to be executed as of the date written below. Date: 09/17/26 By: /s/ Haas Sullivan Haas Sullivan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6224" TargetMode="External"/><Relationship Id="rId3" Type="http://schemas.openxmlformats.org/officeDocument/2006/relationships/hyperlink" Target="http://www.sec.gov/cgi-bin/browse-edgar?action=getcompany&amp;CIK=00015959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1024</Words>
  <Characters>5376</Characters>
  <CharactersWithSpaces>6352</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mgni-poaxhsullivanformid</dc:title>
</cp:coreProperties>
</file>