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before="0" w:after="0"/>
        <w:jc w:val="left"/>
      </w:p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p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November 4, 2026 </w:t>
      </w:r>
    </w:p>
    <w:p>
      <w:pPr>
        <w:pStyle w:val="TextBody"/>
        <w:bidi w:val="0"/>
        <w:spacing w:lineRule="auto" w:line="345" w:before="0" w:after="0"/>
        <w:jc w:val="center"/>
      </w:pPr>
      <w:r>
        <w:rPr>
          <w:rFonts w:ascii="Times New Roman;serif" w:hAnsi="Times New Roman;serif"/>
          <w:b w:val="false"/>
          <w:color w:val="000000"/>
          <w:sz w:val="20"/>
        </w:rPr>
        <w:t>Date of Report (Date of earliest event reported)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MAGNITE,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__________________</w:t>
      </w:r>
    </w:p>
    <w:tbl>
      <w:tblPr>
        <w:tblW w:w="886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001-36384</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20-8881738</w:t>
            </w:r>
          </w:p>
        </w:tc>
      </w:tr>
      <w:t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3"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1250 Broadway, 9th Floor</w:t>
            </w:r>
          </w:p>
        </w:tc>
      </w:tr>
      <w:tr>
        <w:tc>
          <w:tcPr>
            <w:tcW w:w="8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tc>
      </w:tr>
      <w:t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(212) 243-2769</w:t>
            </w:r>
          </w:p>
        </w:tc>
      </w:tr>
      <w:t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c>
          <w:tcPr>
            <w:tcW w:w="8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863" w:type="dxa"/>
            <w:gridSpan w:val="9"/>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c>
          <w:tcPr>
            <w:tcW w:w="8863" w:type="dxa"/>
            <w:gridSpan w:val="9"/>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pPr>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pPr>
      <w:r/>
    </w:p>
    <w:p>
      <w:pPr>
        <w:pStyle w:val="TextBody"/>
        <w:bidi w:val="0"/>
        <w:spacing w:lineRule="auto" w:line="345" w:before="0" w:after="60"/>
        <w:jc w:val="both"/>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45" w:before="0" w:after="60"/>
        <w:jc w:val="both"/>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45" w:before="0" w:after="60"/>
        <w:jc w:val="both"/>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45" w:before="0" w:after="0"/>
        <w:jc w:val="both"/>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10024" w:type="dxa"/>
        <w:jc w:val="left"/>
        <w:tblInd w:w="0" w:type="dxa"/>
        <w:tblLayout w:type="fixed"/>
        <w:tblCellMar>
          <w:top w:w="28" w:type="dxa"/>
          <w:left w:w="28" w:type="dxa"/>
          <w:bottom w:w="28" w:type="dxa"/>
          <w:right w:w="28" w:type="dxa"/>
        </w:tblCellMar>
      </w:tblPr>
      <w:tblGrid>
        <w:gridCol w:w="1428"/>
        <w:gridCol w:w="1258"/>
        <w:gridCol w:w="1258"/>
        <w:gridCol w:w="773"/>
        <w:gridCol w:w="773"/>
        <w:gridCol w:w="784"/>
        <w:gridCol w:w="1098"/>
        <w:gridCol w:w="1098"/>
        <w:gridCol w:w="1554"/>
      </w:tblGrid>
      <w:tr>
        <w:tc>
          <w:tcPr>
            <w:tcW w:w="142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c>
          <w:tcPr>
            <w:tcW w:w="6274" w:type="dxa"/>
            <w:gridSpan w:val="6"/>
            <w:tcBorders/>
            <w:tcMar>
              <w:top w:w="0" w:type="dxa"/>
              <w:left w:w="0" w:type="dxa"/>
              <w:bottom w:w="0" w:type="dxa"/>
              <w:right w:w="0" w:type="dxa"/>
            </w:tcMar>
            <w:vAlign w:val="center"/>
          </w:tcPr>
          <w:p>
            <w:pPr>
              <w:pStyle w:val="TableContents"/>
              <w:bidi w:val="0"/>
              <w:spacing w:lineRule="auto" w:line="345"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2330"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Name on each exchange on which registered</w:t>
            </w:r>
          </w:p>
        </w:tc>
      </w:tr>
      <w:tr>
        <w:tc>
          <w:tcPr>
            <w:tcW w:w="394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2330"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MGNI</w:t>
            </w:r>
          </w:p>
        </w:tc>
        <w:tc>
          <w:tcPr>
            <w:tcW w:w="3750"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00" w:after="283"/>
        <w:jc w:val="left"/>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ind w:left="0" w:right="0" w:firstLine="360"/>
        <w:jc w:val="left"/>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On November 4, 2026, Magnite, Inc., or the Company, issued a press release announcing financial results for its fiscal quarter ended September 30, 2026. The full text of the press release issued in connection with the announcement is furnished as Exhibit 99.1 to this Current Report on Form 8-K.</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 and not filed:</w:t>
      </w:r>
    </w:p>
    <w:p>
      <w:pPr>
        <w:pStyle w:val="TextBody"/>
        <w:bidi w:val="0"/>
        <w:spacing w:lineRule="auto" w:line="288" w:before="0" w:after="0"/>
        <w:jc w:val="left"/>
        <w:rPr>
          <w:color w:val="000000"/>
        </w:rPr>
      </w:pPr>
      <w:r>
        <w:rPr>
          <w:color w:val="000000"/>
        </w:rPr>
        <w:t> </w:t>
      </w:r>
    </w:p>
    <w:tbl>
      <w:tblPr>
        <w:tblW w:w="8411" w:type="dxa"/>
        <w:jc w:val="center"/>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4"/>
      </w:tblGrid>
      <w:t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991-earningsq32026.htm">
              <w:r>
                <w:rPr>
                  <w:rStyle w:val="InternetLink"/>
                  <w:rFonts w:ascii="Times New Roman;serif" w:hAnsi="Times New Roman;serif"/>
                  <w:b w:val="false"/>
                  <w:color w:val="0000FF"/>
                  <w:sz w:val="20"/>
                  <w:u w:val="single"/>
                </w:rPr>
                <w:t>Press release dated November 4, 2026</w:t>
              </w:r>
            </w:hyperlink>
          </w:p>
        </w:tc>
      </w:tr>
      <w:t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227"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244"/>
        <w:gridCol w:w="244"/>
        <w:gridCol w:w="244"/>
        <w:gridCol w:w="583"/>
        <w:gridCol w:w="583"/>
        <w:gridCol w:w="843"/>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MAGNITE,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Gephart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Gephart</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right"/>
      </w:p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Magnite Reports Third Quarter 2026 Results</w:t>
      </w:r>
    </w:p>
    <w:p>
      <w:pPr>
        <w:pStyle w:val="TextBody"/>
        <w:bidi w:val="0"/>
        <w:spacing w:lineRule="auto" w:line="288" w:before="240" w:after="283"/>
        <w:jc w:val="center"/>
      </w:pPr>
      <w:r>
        <w:rPr>
          <w:rFonts w:ascii="Times New Roman;serif" w:hAnsi="Times New Roman;serif"/>
          <w:b w:val="false"/>
          <w:i/>
          <w:color w:val="000000"/>
          <w:sz w:val="24"/>
        </w:rPr>
        <w:t>Contribution ex-TAC</w:t>
      </w: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4"/>
        </w:rPr>
        <w:t xml:space="preserve">Grows 20% Year-Over-Year </w:t>
      </w:r>
    </w:p>
    <w:p>
      <w:pPr>
        <w:pStyle w:val="TextBody"/>
        <w:bidi w:val="0"/>
        <w:spacing w:lineRule="auto" w:line="288" w:before="240" w:after="283"/>
        <w:jc w:val="center"/>
      </w:pPr>
      <w:r>
        <w:rPr>
          <w:rFonts w:ascii="Times New Roman;serif" w:hAnsi="Times New Roman;serif"/>
          <w:b w:val="false"/>
          <w:i/>
          <w:color w:val="000000"/>
          <w:sz w:val="24"/>
        </w:rPr>
        <w:t>Contribution ex-TAC</w:t>
      </w: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4"/>
        </w:rPr>
        <w:t>from CTV Grows 39% Year-Over-Year</w:t>
      </w:r>
    </w:p>
    <w:p>
      <w:pPr>
        <w:pStyle w:val="TextBody"/>
        <w:bidi w:val="0"/>
        <w:spacing w:lineRule="auto" w:line="288" w:before="240" w:after="283"/>
        <w:jc w:val="center"/>
      </w:pPr>
      <w:r>
        <w:rPr>
          <w:rFonts w:ascii="Times New Roman;serif" w:hAnsi="Times New Roman;serif"/>
          <w:b w:val="false"/>
          <w:i/>
          <w:color w:val="000000"/>
          <w:sz w:val="24"/>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i/>
          <w:color w:val="000000"/>
          <w:sz w:val="24"/>
        </w:rPr>
        <w:t>Grows 46% Year-Over-Year</w:t>
      </w:r>
    </w:p>
    <w:p>
      <w:pPr>
        <w:pStyle w:val="TextBody"/>
        <w:bidi w:val="0"/>
        <w:spacing w:lineRule="auto" w:line="288" w:before="240" w:after="283"/>
        <w:jc w:val="center"/>
      </w:pPr>
      <w:r>
        <w:rPr>
          <w:rFonts w:ascii="Times New Roman;serif" w:hAnsi="Times New Roman;serif"/>
          <w:b w:val="false"/>
          <w:i/>
          <w:color w:val="000000"/>
          <w:sz w:val="24"/>
        </w:rPr>
        <w:t>Adjusted EBITDA Margin</w:t>
      </w:r>
      <w:r>
        <w:rPr>
          <w:rFonts w:ascii="Times New Roman;serif" w:hAnsi="Times New Roman;serif"/>
          <w:b w:val="false"/>
          <w:color w:val="000000"/>
          <w:sz w:val="13"/>
        </w:rPr>
        <w:t>(2)</w:t>
      </w:r>
      <w:r>
        <w:rPr>
          <w:color w:val="000000"/>
        </w:rPr>
        <w:t xml:space="preserve"> </w:t>
      </w:r>
      <w:r>
        <w:rPr>
          <w:rFonts w:ascii="Times New Roman;serif" w:hAnsi="Times New Roman;serif"/>
          <w:b w:val="false"/>
          <w:i/>
          <w:color w:val="000000"/>
          <w:sz w:val="24"/>
        </w:rPr>
        <w:t>of 42% in Third Quarter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YORK, November 4, 2026 – Magnite (NASDAQ: MGNI), the largest independent sell-side advertising company, today reported its results of operations for the quarter ended September 30, 2026.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Q3 2026 Highlights: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Revenue of $204.2 million, up 14% year-over-year</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$200.6 million, up 20% year-over-year, exceeded the high end of the guidance range of $188 to $192 million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attributable to CTV of $105.4 million, up 39% year-over-year, exceeded the high end of the guidance range of $98 to $100 million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attributable to DV+ of $95.3 million, up 5% year-over-year, exceeded high end of the guidance range of $90 to $92 million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Net income of $34.0 million, or $0.23 per diluted share, a 70% increase compared to a net income of $20.1 million, or $0.13 per diluted share for Q3 2025</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$83.4 million, up 46% year-over-year, representing a 42% Adjusted EBITDA margin</w:t>
      </w:r>
      <w:r>
        <w:rPr>
          <w:rFonts w:ascii="Times New Roman;serif" w:hAnsi="Times New Roman;serif"/>
          <w:b w:val="false"/>
          <w:color w:val="000000"/>
          <w:sz w:val="13"/>
        </w:rPr>
        <w:t>(2)</w:t>
      </w:r>
      <w:r>
        <w:rPr>
          <w:rFonts w:ascii="Times New Roman;serif" w:hAnsi="Times New Roman;serif"/>
          <w:b w:val="false"/>
          <w:color w:val="000000"/>
          <w:sz w:val="20"/>
        </w:rPr>
        <w:t>, compared to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$57.2 million or a 34% margin in Q3 2025</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Non-GAAP earnings per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$0.33, compared to non-GAAP earnings per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$0.20 for Q3 2025</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Operating cash flow</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of $68.0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Q4 2026 Expectations: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Total 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 be between $227 million and $233 million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attributable to CTV to be between $124 million and $127 million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attributable to DV+ to be between $103 million and $106 million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operating expenses</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to be between $125 million and $127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Full-Year 2026 Expectations: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Raising total Contribution ex-TAC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growth to be approximately 17%, up from 13% to 14%</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Raising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percentage growth to be approximately 30%, from greater than 20%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Raising Adjusted EBITDA margin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to be approximately 38.5%, from at least 37%</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Raising free cash flow</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growth to be above 60%, from the high 40% range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Full-Year 2027 Expectations: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Top-line growth, excluding political, accelerating over 2026</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Total top-line growth of over 15%, excluding political and not including upside from Google remedies, or 10% on a total reported basis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margin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of at least 38.5% </w:t>
      </w: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00" w:after="283"/>
        <w:jc w:val="left"/>
        <w:rPr>
          <w:color w:val="000000"/>
        </w:rPr>
      </w:pPr>
      <w:r>
        <w:rPr>
          <w:color w:val="000000"/>
        </w:rPr>
        <w:t>“</w:t>
      </w:r>
      <w:r>
        <w:rPr>
          <w:rFonts w:ascii="Times New Roman;serif" w:hAnsi="Times New Roman;serif"/>
          <w:b w:val="false"/>
          <w:color w:val="000000"/>
          <w:sz w:val="20"/>
        </w:rPr>
        <w:t>We delivered a very strong quarter, with the top line growing 20%, driven by CTV growing 39% and DV+ growing 5%, both significantly exceeding expectations. We outperformed political revenue expectations, mostly in CTV, and now expect full-year political spend to be nearly three times our initial forecast. CTV momentum remains broad-based, and the business now represents 53% of total contribution ex-TAC. Strong top-line execution translated into outstanding operating leverage, generating 46% Adjusted EBITDA growth with a 42% margin, prompting us to once again raise our full-year outlook across all key performance metrics,” said Michael G. Barrett, CEO of Magnite.</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97"/>
        <w:gridCol w:w="366"/>
        <w:gridCol w:w="359"/>
        <w:gridCol w:w="614"/>
        <w:gridCol w:w="329"/>
        <w:gridCol w:w="336"/>
        <w:gridCol w:w="109"/>
        <w:gridCol w:w="109"/>
        <w:gridCol w:w="109"/>
        <w:gridCol w:w="354"/>
        <w:gridCol w:w="354"/>
        <w:gridCol w:w="356"/>
        <w:gridCol w:w="109"/>
        <w:gridCol w:w="109"/>
        <w:gridCol w:w="109"/>
        <w:gridCol w:w="403"/>
        <w:gridCol w:w="403"/>
        <w:gridCol w:w="405"/>
        <w:gridCol w:w="109"/>
        <w:gridCol w:w="109"/>
        <w:gridCol w:w="109"/>
        <w:gridCol w:w="354"/>
        <w:gridCol w:w="354"/>
        <w:gridCol w:w="356"/>
        <w:gridCol w:w="109"/>
        <w:gridCol w:w="109"/>
        <w:gridCol w:w="109"/>
        <w:gridCol w:w="354"/>
        <w:gridCol w:w="354"/>
        <w:gridCol w:w="356"/>
        <w:gridCol w:w="109"/>
        <w:gridCol w:w="109"/>
        <w:gridCol w:w="109"/>
        <w:gridCol w:w="368"/>
        <w:gridCol w:w="368"/>
        <w:gridCol w:w="530"/>
      </w:tblGrid>
      <w:tr>
        <w:tc>
          <w:tcPr>
            <w:tcW w:w="8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c>
          <w:tcPr>
            <w:tcW w:w="290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Magnite Third Quarter 2026 Results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Favorable/ (Unfavorable)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Favorable/ (Unfavorable)</w:t>
            </w:r>
          </w:p>
        </w:tc>
      </w:tr>
      <w:t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Contribution ex-TAC</w:t>
            </w:r>
            <w:r>
              <w:rPr>
                <w:rFonts w:ascii="Times New Roman;serif" w:hAnsi="Times New Roman;serif"/>
                <w:b w:val="false"/>
                <w:color w:val="000000"/>
                <w:sz w:val="13"/>
              </w:rPr>
              <w:t>(1)</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w:t>
            </w:r>
          </w:p>
        </w:tc>
      </w:tr>
      <w:t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ppt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ppt</w:t>
            </w:r>
          </w:p>
        </w:tc>
      </w:tr>
      <w:t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w:t>
            </w:r>
          </w:p>
        </w:tc>
      </w:tr>
      <w:t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Non-GAAP earnings per share</w:t>
            </w:r>
            <w:r>
              <w:rPr>
                <w:rFonts w:ascii="Times New Roman;serif" w:hAnsi="Times New Roman;serif"/>
                <w:b w:val="false"/>
                <w:color w:val="000000"/>
                <w:sz w:val="13"/>
              </w:rPr>
              <w:t>(1)</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bl>
    <w:p>
      <w:pPr>
        <w:pStyle w:val="TextBody"/>
        <w:bidi w:val="0"/>
        <w:spacing w:before="0" w:after="0"/>
        <w:ind w:left="0" w:right="0" w:hanging="450"/>
        <w:jc w:val="left"/>
      </w:pPr>
      <w:r/>
    </w:p>
    <w:tbl>
      <w:tblPr>
        <w:tblW w:w="10205" w:type="dxa"/>
        <w:jc w:val="center"/>
        <w:tblInd w:w="0" w:type="dxa"/>
        <w:tblLayout w:type="fixed"/>
        <w:tblCellMar>
          <w:top w:w="28" w:type="dxa"/>
          <w:left w:w="28" w:type="dxa"/>
          <w:bottom w:w="28" w:type="dxa"/>
          <w:right w:w="28" w:type="dxa"/>
        </w:tblCellMar>
      </w:tblPr>
      <w:tblGrid>
        <w:gridCol w:w="158"/>
        <w:gridCol w:w="139"/>
        <w:gridCol w:w="139"/>
        <w:gridCol w:w="2847"/>
        <w:gridCol w:w="2847"/>
        <w:gridCol w:w="4075"/>
      </w:tblGrid>
      <w:t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Footnotes:</w:t>
            </w:r>
          </w:p>
        </w:tc>
      </w:tr>
      <w:t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ex-TAC, Adjusted EBITDA, and non-GAAP earnings per share are non-GAAP financial measures. Please see the discussion in the section called "Non-GAAP Financial Measures" and the reconciliations included at the end of this press release.</w:t>
            </w:r>
          </w:p>
        </w:tc>
      </w:tr>
      <w:t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 is calculated as Adjusted EBITDA divided by Contribution ex-TAC.</w:t>
            </w:r>
          </w:p>
        </w:tc>
      </w:tr>
      <w:t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 is calculated as Adjusted EBITDA less capital expenditures.</w:t>
            </w:r>
          </w:p>
        </w:tc>
      </w:tr>
      <w:t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operating expenses is calculated as Contribution ex-TAC less Adjusted EBITDA.</w:t>
            </w:r>
          </w:p>
        </w:tc>
      </w:tr>
      <w:t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Free cash flow is defined as operating cash flow (Adjusted EBITDA less capital expenditures) less net interest expense.</w:t>
            </w:r>
          </w:p>
        </w:tc>
      </w:tr>
    </w:tbl>
    <w:p>
      <w:pPr>
        <w:pStyle w:val="TextBody"/>
        <w:bidi w:val="0"/>
        <w:spacing w:lineRule="auto" w:line="288" w:before="260" w:after="283"/>
        <w:ind w:left="0" w:right="0" w:hanging="450"/>
        <w:jc w:val="left"/>
        <w:rPr>
          <w:rFonts w:ascii="Times New Roman;serif" w:hAnsi="Times New Roman;serif"/>
          <w:b/>
          <w:color w:val="000000"/>
          <w:sz w:val="20"/>
        </w:rPr>
      </w:pPr>
      <w:r>
        <w:rPr>
          <w:rFonts w:ascii="Times New Roman;serif" w:hAnsi="Times New Roman;serif"/>
          <w:b/>
          <w:color w:val="000000"/>
          <w:sz w:val="20"/>
        </w:rPr>
        <w:t>Third Quarter 2026 Results Conference Call and Webcast: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host a conference call on November 4, 2026 at 1:30 PM (PT) / 4:30 PM (ET) to discuss the results for its third quarter of 2026. </w:t>
      </w:r>
    </w:p>
    <w:tbl>
      <w:tblPr>
        <w:tblW w:w="7649" w:type="dxa"/>
        <w:jc w:val="center"/>
        <w:tblInd w:w="0" w:type="dxa"/>
        <w:tblLayout w:type="fixed"/>
        <w:tblCellMar>
          <w:top w:w="28" w:type="dxa"/>
          <w:left w:w="28" w:type="dxa"/>
          <w:bottom w:w="28" w:type="dxa"/>
          <w:right w:w="28" w:type="dxa"/>
        </w:tblCellMar>
      </w:tblPr>
      <w:tblGrid>
        <w:gridCol w:w="901"/>
        <w:gridCol w:w="793"/>
        <w:gridCol w:w="796"/>
        <w:gridCol w:w="1508"/>
        <w:gridCol w:w="1508"/>
        <w:gridCol w:w="2143"/>
      </w:tblGrid>
      <w:t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Live conference call</w:t>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Toll free number:</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(844) 875-6911 (for domestic callers)</w:t>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dial number:</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 902-6511 (for international callers)</w:t>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Passcode:</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Ask to join the Magnite conference call</w:t>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Simultaneous audio webcast: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u w:val="single"/>
              </w:rPr>
              <w:t>http://investor.magnite.com</w:t>
            </w:r>
            <w:r>
              <w:rPr>
                <w:color w:val="000000"/>
              </w:rPr>
              <w:t xml:space="preserve"> </w:t>
            </w:r>
            <w:r>
              <w:rPr>
                <w:rFonts w:ascii="Times New Roman;serif" w:hAnsi="Times New Roman;serif"/>
                <w:b w:val="false"/>
                <w:color w:val="000000"/>
                <w:sz w:val="20"/>
              </w:rPr>
              <w:t>under "Events and Presentations"</w:t>
            </w:r>
          </w:p>
        </w:tc>
      </w:tr>
      <w:t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Conference call replay</w:t>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Toll free number:</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(855) 669-9658 (for domestic callers)</w:t>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dial number:</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(412) 317-0088 (for international callers) </w:t>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Passcode:</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1468027</w:t>
            </w:r>
          </w:p>
        </w:tc>
      </w:tr>
      <w:t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Webcast link:</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u w:val="single"/>
              </w:rPr>
              <w:t>http://investor.magnite.com</w:t>
            </w:r>
            <w:r>
              <w:rPr>
                <w:color w:val="000000"/>
              </w:rPr>
              <w:t xml:space="preserve"> </w:t>
            </w:r>
            <w:r>
              <w:rPr>
                <w:rFonts w:ascii="Times New Roman;serif" w:hAnsi="Times New Roman;serif"/>
                <w:b w:val="false"/>
                <w:color w:val="000000"/>
                <w:sz w:val="20"/>
              </w:rPr>
              <w:t>under "Events and Presentations"</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About Magnite</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We’re Magnite (NASDAQ: MGNI), the world’s largest independent sell-side advertising company. Publishers use our technology to monetize their content across all screens and formats including CTV, online video, display, and audio. The world's leading agencies and brands trust our platform to access brand-safe, high-quality ad inventory and execute billions of advertising transactions each month. Anchored in bustling New York City, sunny Los Angeles, mile high Denver, historic </w:t>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London, colorful Singapore, and down under in Sydney, Magnite has offices across North America, EMEA, LATAM, and APAC.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and management's prepared remarks during the conference call referred to above include, and management's answers to questions during the conference call may include,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("AI");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our litigation against Google LLC, or the anticipated benefits thereof;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outcomes, performance or achievements, or the timing thereof, to be materially different from expectations or results projected or implied by forward-looking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discuss many of these risks, uncertainties, and additional factors that could cause actual results, outcomes, or timing thereof, to differ materially from those anticipated by our forward-looking statements under the headings "Risk Factors" and "Management's Discussion and Analysis of Financial Condition and Results of Operations," and elsewhere in this press release and in other filings we have made and will make from time to time with the Securities and Exchange Commission, or SEC, including our Annual Report on Form 10-K for the year ended December 31, 2025,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or outcomes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Investors should read this press release and the documents that we reference in this press release and have filed or will file with the SEC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Measures and Operational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our GAAP results, we review certain non-GAAP financial measures to help us evaluate our business on a consistent basis, measure our performance, identify trends affecting our business, establish budgets, measure the effectiveness of investments in our technology and development and sales and marketing, and assess our operational efficiencies. These non-GAAP financial measures include Contribution ex-TAC, Adjusted EBITDA, Non-GAAP Income, and Non-GAAP Earnings per share, each of which is discussed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intended to be considered in isolation from, as substitutes for, or as superior to, the corresponding financial measures prepared in accordance with GAAP. You are encouraged to evaluate these adjustments, and review the reconciliation of these non-GAAP financial measures to their most comparable GAAP measures, and the reasons we consider them appropriate. It is important to note that the particular items we exclude from, or include in, our non-GAAP financial measures may differ from the items excluded from, or included in, similar non-GAAP financial measures used by other companies. See "Reconciliation of Revenue to Gross Profit to Contribution ex-TAC," "Reconciliation of net income to Adjusted EBITDA," "Reconciliation of net income to non-GAAP income," and "Reconciliation of GAAP earnings per share to non-GAAP earnings per share" included as part of this press release.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provide a reconciliation of our non-GAAP financial expectations for Contribution ex-TAC and Adjusted EBITDA, or a forecast of the most comparable GAAP measures, because the amount and timing of many future charges that impact these measures (such as amortization of future acquired intangible assets, acquisition-related charges, foreign exchange (gain) loss, net, stock-based compensation, impairment charges, provision for income taxes, and our future revenue mix), which could be </w:t>
      </w: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material, are variable, uncertain, or out of our control and therefore cannot be reasonably predicted without unreasonable effort, if at all. In addition, we believe such reconciliations or forecasts could imply a degree of precision that might be confusing or misleading to investors.</w:t>
      </w:r>
    </w:p>
    <w:p>
      <w:pPr>
        <w:pStyle w:val="TextBody"/>
        <w:bidi w:val="0"/>
        <w:spacing w:before="0" w:after="0"/>
        <w:jc w:val="left"/>
      </w:p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Contribution ex-TAC: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We believe Contribution ex-TAC is a useful measure in facilitating a consistent comparison against our core business without considering the impact of traffic acquisition costs related to revenue reported on a gross basis.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adjusted to exclude stock-based compensation expense, depreciation and amortization, including amortization of acquired intangible assets, impairment charges, interest income or expense, provision for income taxes, and certain cash and non-cash based income or expenses that we do not consider indicative of our core operating performance, including, but not limited to foreign exchange gains and losses, acquisition, severance costs and other related items, gains or losses on extinguishment of debt, other debt refinancing expenses, certain litigation expenses, and non-operational real estate and other expenses (income), net. We believe Adjusted EBITDA is useful to investors in evaluating our performance for the following reasons: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cash and non-cash charges related to interest income and interest expense and certain financing transactions such as gains or losses on extinguishment of debt or other debt refinancing expenses.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litigation expenses for specific proceedings.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certain non-operational real estate and other (income) and expense, net.</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Adjusted EBITDA does not reflect changes in our working capital needs, capital expenditures, or contractual commitments.</w:t>
      </w: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Other companies may calculate Adjusted EBITDA differently than we do, limiting its usefulness as a comparative measure.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income from operations, or any other measure of financial performance calculated and presented in accordance with GAAP.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Income and Non-GAAP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define non-GAAP earnings per share as non-GAAP income divided by non-GAAP weighted-average shares outstanding. Non-GAAP income is equal to net income excluding stock-based compensation, cash and non-cash based merger, acquisition, and restructuring costs, which consist primarily of professional service fees associated with merger and acquisition activities, cash-based employee termination costs, and other restructuring activities, including facility closures, relocation costs, contract termination costs, and impairment costs of abandoned technology associated with restructuring activities, amortization of acquired intangible assets, gains or losses on extinguishment of debt, certain litigation expense, non-operational real estate and other expenses or income, foreign currency gains and losses, interest expense associated with Convertible Senior Notes, other debt refinance expenses, and the tax impact of these items. In periods in which we have non-GAAP income, non-GAAP weighted-average shares outstanding used to calculate non-GAAP earnings per share includes the impact of potentially dilutive shares. Potentially dilutive shares consist of stock options, restricted stock units, performance stock units, and potential shares issued under the Employee Stock Purchase Plan, each computed using the treasury stock method, and the impact of shares that would be issuable assuming conversion of all of the Convertible Senior Notes, calculated under the if-converted method. We believe non-GAAP earnings per share is useful to investors in evaluating our ongoing operational performance and our trends on a per share basis, and also facilitates comparison of our financial results on a per share basis with other companies, many of which present a similar non-GAAP measure. However, a potential limitation of our use of non-GAAP earnings per share is that other companies may define non-GAAP earnings per share differently, which may make comparison difficult. This measure may also exclude expenses that may have a material impact on our reported financial results. Non-GAAP earnings per share is a performance measure and should not be used as a measure of liquidity. Because of these limitations, we also consider the comparable GAAP measure of net income.</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Investor Relations Contact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Nick Kormeluk</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(949) 500-0003</w:t>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nkormeluk@magnite.com</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Media Contact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Charlstie Veith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(516) 300-3569</w:t>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press@magnite.com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201" w:type="dxa"/>
        <w:jc w:val="center"/>
        <w:tblInd w:w="0" w:type="dxa"/>
        <w:tblLayout w:type="fixed"/>
        <w:tblCellMar>
          <w:top w:w="28" w:type="dxa"/>
          <w:left w:w="28" w:type="dxa"/>
          <w:bottom w:w="28" w:type="dxa"/>
          <w:right w:w="28" w:type="dxa"/>
        </w:tblCellMar>
      </w:tblPr>
      <w:tblGrid>
        <w:gridCol w:w="1730"/>
        <w:gridCol w:w="1525"/>
        <w:gridCol w:w="1529"/>
        <w:gridCol w:w="251"/>
        <w:gridCol w:w="1164"/>
        <w:gridCol w:w="130"/>
        <w:gridCol w:w="109"/>
        <w:gridCol w:w="109"/>
        <w:gridCol w:w="109"/>
        <w:gridCol w:w="243"/>
        <w:gridCol w:w="1125"/>
        <w:gridCol w:w="177"/>
      </w:tblGrid>
      <w:t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1,852,218 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1,881,578 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 use software development costs, net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Debt, current, net of debt issuance costs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1,783,935 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1,841,736 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 of debt discount and issuance costs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2,175,093 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2,242,025 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(516,559)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961,685 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922,350 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3,136,778 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3,164,375 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38"/>
        <w:gridCol w:w="1089"/>
        <w:gridCol w:w="1098"/>
        <w:gridCol w:w="255"/>
        <w:gridCol w:w="1000"/>
        <w:gridCol w:w="132"/>
        <w:gridCol w:w="109"/>
        <w:gridCol w:w="109"/>
        <w:gridCol w:w="109"/>
        <w:gridCol w:w="255"/>
        <w:gridCol w:w="1000"/>
        <w:gridCol w:w="132"/>
        <w:gridCol w:w="109"/>
        <w:gridCol w:w="109"/>
        <w:gridCol w:w="109"/>
        <w:gridCol w:w="255"/>
        <w:gridCol w:w="1000"/>
        <w:gridCol w:w="132"/>
        <w:gridCol w:w="109"/>
        <w:gridCol w:w="109"/>
        <w:gridCol w:w="109"/>
        <w:gridCol w:w="253"/>
        <w:gridCol w:w="994"/>
        <w:gridCol w:w="191"/>
      </w:tblGrid>
      <w:tr>
        <w:tc>
          <w:tcPr>
            <w:tcW w:w="14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Expenses </w:t>
            </w:r>
            <w:r>
              <w:rPr>
                <w:rFonts w:ascii="Times New Roman;serif" w:hAnsi="Times New Roman;serif"/>
                <w:b w:val="false"/>
                <w:color w:val="000000"/>
                <w:sz w:val="13"/>
              </w:rPr>
              <w:t>(1)(2)</w:t>
            </w:r>
            <w:r>
              <w:rPr>
                <w:rFonts w:ascii="Times New Roman;serif" w:hAnsi="Times New Roman;serif"/>
                <w:b w:val="false"/>
                <w:color w:val="000000"/>
                <w:sz w:val="20"/>
              </w:rPr>
              <w:t>:</w:t>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462,961 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earnings per share:</w:t>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5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150,805 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153,166 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149,554 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150,516 </w:t>
            </w:r>
          </w:p>
        </w:tc>
        <w:tc>
          <w:tcPr>
            <w:tcW w:w="1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625"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6599" w:type="dxa"/>
        <w:jc w:val="left"/>
        <w:tblInd w:w="0" w:type="dxa"/>
        <w:tblLayout w:type="fixed"/>
        <w:tblCellMar>
          <w:top w:w="28" w:type="dxa"/>
          <w:left w:w="28" w:type="dxa"/>
          <w:bottom w:w="28" w:type="dxa"/>
          <w:right w:w="28" w:type="dxa"/>
        </w:tblCellMar>
      </w:tblPr>
      <w:tblGrid>
        <w:gridCol w:w="2112"/>
        <w:gridCol w:w="1854"/>
        <w:gridCol w:w="2633"/>
      </w:tblGrid>
      <w:tr>
        <w:tc>
          <w:tcPr>
            <w:tcW w:w="211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r>
      <w:tr>
        <w:tc>
          <w:tcPr>
            <w:tcW w:w="6599" w:type="dxa"/>
            <w:gridSpan w:val="3"/>
            <w:tcBorders/>
            <w:tcMar>
              <w:top w:w="0" w:type="dxa"/>
              <w:left w:w="0" w:type="dxa"/>
              <w:bottom w:w="0" w:type="dxa"/>
              <w:right w:w="0" w:type="dxa"/>
            </w:tcMar>
            <w:vAlign w:val="center"/>
          </w:tcPr>
          <w:p>
            <w:pPr>
              <w:pStyle w:val="TableContents"/>
              <w:bidi w:val="0"/>
              <w:spacing w:lineRule="auto" w:line="240" w:before="40" w:after="200"/>
              <w:jc w:val="left"/>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Stock-based compensation expense included in our expenses was as follows:</w:t>
            </w:r>
          </w:p>
        </w:tc>
      </w:tr>
    </w:tbl>
    <w:tbl>
      <w:tblPr>
        <w:tblW w:w="10145" w:type="dxa"/>
        <w:jc w:val="left"/>
        <w:tblInd w:w="0" w:type="dxa"/>
        <w:tblLayout w:type="fixed"/>
        <w:tblCellMar>
          <w:top w:w="28" w:type="dxa"/>
          <w:left w:w="28" w:type="dxa"/>
          <w:bottom w:w="28" w:type="dxa"/>
          <w:right w:w="28" w:type="dxa"/>
        </w:tblCellMar>
      </w:tblPr>
      <w:tblGrid>
        <w:gridCol w:w="1066"/>
        <w:gridCol w:w="935"/>
        <w:gridCol w:w="939"/>
        <w:gridCol w:w="318"/>
        <w:gridCol w:w="1050"/>
        <w:gridCol w:w="177"/>
        <w:gridCol w:w="109"/>
        <w:gridCol w:w="109"/>
        <w:gridCol w:w="109"/>
        <w:gridCol w:w="318"/>
        <w:gridCol w:w="1050"/>
        <w:gridCol w:w="177"/>
        <w:gridCol w:w="109"/>
        <w:gridCol w:w="109"/>
        <w:gridCol w:w="109"/>
        <w:gridCol w:w="318"/>
        <w:gridCol w:w="1050"/>
        <w:gridCol w:w="177"/>
        <w:gridCol w:w="109"/>
        <w:gridCol w:w="109"/>
        <w:gridCol w:w="109"/>
        <w:gridCol w:w="313"/>
        <w:gridCol w:w="1031"/>
        <w:gridCol w:w="245"/>
      </w:tblGrid>
      <w:t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c>
          <w:tcPr>
            <w:tcW w:w="29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2940" w:type="dxa"/>
            <w:gridSpan w:val="3"/>
            <w:vMerge w:val="continue"/>
            <w:tcBorders/>
            <w:tcMar>
              <w:top w:w="0" w:type="dxa"/>
              <w:left w:w="0" w:type="dxa"/>
              <w:bottom w:w="0" w:type="dxa"/>
              <w:right w:w="0" w:type="dxa"/>
            </w:tcMar>
            <w:vAlign w:val="center"/>
          </w:tcPr>
          <w:p>
            <w:pPr>
              <w:pStyle w:val="Normal"/>
              <w:bidi w:val="0"/>
              <w:jc w:val="left"/>
            </w:p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55,805 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58,811 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99" w:type="dxa"/>
        <w:jc w:val="center"/>
        <w:tblInd w:w="0" w:type="dxa"/>
        <w:tblLayout w:type="fixed"/>
        <w:tblCellMar>
          <w:top w:w="28" w:type="dxa"/>
          <w:left w:w="28" w:type="dxa"/>
          <w:bottom w:w="28" w:type="dxa"/>
          <w:right w:w="28" w:type="dxa"/>
        </w:tblCellMar>
      </w:tblPr>
      <w:tblGrid>
        <w:gridCol w:w="2207"/>
        <w:gridCol w:w="1940"/>
        <w:gridCol w:w="2752"/>
      </w:tblGrid>
      <w:tr>
        <w:tc>
          <w:tcPr>
            <w:tcW w:w="220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c>
          <w:tcPr>
            <w:tcW w:w="6899" w:type="dxa"/>
            <w:gridSpan w:val="3"/>
            <w:tcBorders/>
            <w:tcMar>
              <w:top w:w="0" w:type="dxa"/>
              <w:left w:w="0" w:type="dxa"/>
              <w:bottom w:w="0" w:type="dxa"/>
              <w:right w:w="0" w:type="dxa"/>
            </w:tcMar>
            <w:vAlign w:val="center"/>
          </w:tcPr>
          <w:p>
            <w:pPr>
              <w:pStyle w:val="TableContents"/>
              <w:bidi w:val="0"/>
              <w:spacing w:lineRule="auto" w:line="240" w:before="40" w:after="200"/>
              <w:jc w:val="left"/>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Depreciation and amortization expense included in our expenses was as follows:</w:t>
            </w:r>
          </w:p>
        </w:tc>
      </w:tr>
    </w:tbl>
    <w:tbl>
      <w:tblPr>
        <w:tblW w:w="10205" w:type="dxa"/>
        <w:jc w:val="center"/>
        <w:tblInd w:w="0" w:type="dxa"/>
        <w:tblLayout w:type="fixed"/>
        <w:tblCellMar>
          <w:top w:w="28" w:type="dxa"/>
          <w:left w:w="28" w:type="dxa"/>
          <w:bottom w:w="28" w:type="dxa"/>
          <w:right w:w="28" w:type="dxa"/>
        </w:tblCellMar>
      </w:tblPr>
      <w:tblGrid>
        <w:gridCol w:w="1134"/>
        <w:gridCol w:w="983"/>
        <w:gridCol w:w="985"/>
        <w:gridCol w:w="312"/>
        <w:gridCol w:w="1032"/>
        <w:gridCol w:w="174"/>
        <w:gridCol w:w="109"/>
        <w:gridCol w:w="109"/>
        <w:gridCol w:w="109"/>
        <w:gridCol w:w="312"/>
        <w:gridCol w:w="1032"/>
        <w:gridCol w:w="174"/>
        <w:gridCol w:w="109"/>
        <w:gridCol w:w="109"/>
        <w:gridCol w:w="109"/>
        <w:gridCol w:w="312"/>
        <w:gridCol w:w="1032"/>
        <w:gridCol w:w="174"/>
        <w:gridCol w:w="109"/>
        <w:gridCol w:w="109"/>
        <w:gridCol w:w="109"/>
        <w:gridCol w:w="307"/>
        <w:gridCol w:w="1014"/>
        <w:gridCol w:w="247"/>
      </w:tblGrid>
      <w:tr>
        <w:tc>
          <w:tcPr>
            <w:tcW w:w="113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c>
          <w:tcPr>
            <w:tcW w:w="3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 expense</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42,866 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40,119 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58"/>
        <w:gridCol w:w="2153"/>
        <w:gridCol w:w="2159"/>
        <w:gridCol w:w="288"/>
        <w:gridCol w:w="1082"/>
        <w:gridCol w:w="159"/>
        <w:gridCol w:w="109"/>
        <w:gridCol w:w="109"/>
        <w:gridCol w:w="109"/>
        <w:gridCol w:w="284"/>
        <w:gridCol w:w="1068"/>
        <w:gridCol w:w="227"/>
      </w:tblGrid>
      <w:tr>
        <w:tc>
          <w:tcPr>
            <w:tcW w:w="245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c>
          <w:tcPr>
            <w:tcW w:w="6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6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6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 loss, net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107,711 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 use software development costs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Mergers and acquisitions, net of indemnification claims holdback</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(63,741)</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Term Loan B Facility refinancing and repricing activities, net of debt discount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 from refinancing and repricing activities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Revolving Credit Facility</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Revolving Credit Facility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the Term Loan B Facility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indemnification claims holdback</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(285,373)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(47,040)</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(160,500)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483,220 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392,862 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482,127 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jc w:val="center"/>
      </w:pPr>
      <w: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03"/>
        <w:gridCol w:w="2197"/>
        <w:gridCol w:w="2205"/>
        <w:gridCol w:w="294"/>
        <w:gridCol w:w="1007"/>
        <w:gridCol w:w="151"/>
        <w:gridCol w:w="109"/>
        <w:gridCol w:w="109"/>
        <w:gridCol w:w="109"/>
        <w:gridCol w:w="268"/>
        <w:gridCol w:w="1053"/>
        <w:gridCol w:w="200"/>
      </w:tblGrid>
      <w:tr>
        <w:tc>
          <w:tcPr>
            <w:tcW w:w="250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6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6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OTHER CASH FLOW INFORMATION:</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6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assets financed by accounts payable and accrued expenses and other liabilities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6,969 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stock-based compensation</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reduction and corresponding non-cash adjustment to operating lease liabilities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financing activity related to Amendment No. 2 to the 2024 Credit Agreement</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270,555 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consideration - indemnification claims holdback</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0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CALCULATION OF BASIC AND DILUTED EARNINGS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640"/>
        <w:gridCol w:w="1286"/>
        <w:gridCol w:w="1192"/>
        <w:gridCol w:w="256"/>
        <w:gridCol w:w="876"/>
        <w:gridCol w:w="132"/>
        <w:gridCol w:w="109"/>
        <w:gridCol w:w="109"/>
        <w:gridCol w:w="109"/>
        <w:gridCol w:w="256"/>
        <w:gridCol w:w="876"/>
        <w:gridCol w:w="132"/>
        <w:gridCol w:w="109"/>
        <w:gridCol w:w="109"/>
        <w:gridCol w:w="109"/>
        <w:gridCol w:w="256"/>
        <w:gridCol w:w="876"/>
        <w:gridCol w:w="132"/>
        <w:gridCol w:w="109"/>
        <w:gridCol w:w="109"/>
        <w:gridCol w:w="109"/>
        <w:gridCol w:w="254"/>
        <w:gridCol w:w="869"/>
        <w:gridCol w:w="191"/>
      </w:tblGrid>
      <w:tr>
        <w:tc>
          <w:tcPr>
            <w:tcW w:w="164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c>
          <w:tcPr>
            <w:tcW w:w="411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c>
          <w:tcPr>
            <w:tcW w:w="411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basic earnings per share</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Convertible Senior Notes, net of tax</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to calculate diluted earnings per share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basic earnings per share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restricted stock units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common stock options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performance stock units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Employee Stock Purchase Plan shares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weighted-average convertible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earnings per share</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REVENUE TO GROSS PROFIT TO CONTRIBUTION EX-TAC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07"/>
        <w:gridCol w:w="1018"/>
        <w:gridCol w:w="1022"/>
        <w:gridCol w:w="272"/>
        <w:gridCol w:w="1069"/>
        <w:gridCol w:w="141"/>
        <w:gridCol w:w="109"/>
        <w:gridCol w:w="109"/>
        <w:gridCol w:w="109"/>
        <w:gridCol w:w="272"/>
        <w:gridCol w:w="1069"/>
        <w:gridCol w:w="141"/>
        <w:gridCol w:w="109"/>
        <w:gridCol w:w="109"/>
        <w:gridCol w:w="109"/>
        <w:gridCol w:w="272"/>
        <w:gridCol w:w="1069"/>
        <w:gridCol w:w="141"/>
        <w:gridCol w:w="109"/>
        <w:gridCol w:w="109"/>
        <w:gridCol w:w="109"/>
        <w:gridCol w:w="270"/>
        <w:gridCol w:w="1059"/>
        <w:gridCol w:w="202"/>
      </w:tblGrid>
      <w:tr>
        <w:tc>
          <w:tcPr>
            <w:tcW w:w="120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311,489 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Cost of revenue, excluding TAC</w:t>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474,583 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2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6"/>
        <w:gridCol w:w="1262"/>
        <w:gridCol w:w="1160"/>
        <w:gridCol w:w="253"/>
        <w:gridCol w:w="867"/>
        <w:gridCol w:w="130"/>
        <w:gridCol w:w="109"/>
        <w:gridCol w:w="109"/>
        <w:gridCol w:w="109"/>
        <w:gridCol w:w="253"/>
        <w:gridCol w:w="867"/>
        <w:gridCol w:w="130"/>
        <w:gridCol w:w="109"/>
        <w:gridCol w:w="109"/>
        <w:gridCol w:w="109"/>
        <w:gridCol w:w="241"/>
        <w:gridCol w:w="946"/>
        <w:gridCol w:w="124"/>
        <w:gridCol w:w="109"/>
        <w:gridCol w:w="109"/>
        <w:gridCol w:w="109"/>
        <w:gridCol w:w="240"/>
        <w:gridCol w:w="942"/>
        <w:gridCol w:w="183"/>
      </w:tblGrid>
      <w:tr>
        <w:tc>
          <w:tcPr>
            <w:tcW w:w="162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excluding amortization of acquired intangible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 excluding stock-based compensation expense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refinancing expense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Litigation expense </w:t>
            </w:r>
            <w:r>
              <w:rPr>
                <w:rFonts w:ascii="Times New Roman;serif" w:hAnsi="Times New Roman;serif"/>
                <w:b w:val="false"/>
                <w:color w:val="000000"/>
                <w:sz w:val="13"/>
              </w:rPr>
              <w:t>(1)</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Non-operational real estate and other expense, net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Litigation expense includes professional and legal expenses related to the Google Action and defense costs relating to class action privacy litigation. For additional information, see the "Regulatory Developments and Google Litigation" section and Part II, Item 1. "Legal Proceedings" within our Quarterly Report on Form 10-Q for the period ended September 30, 2026. </w:t>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NON-GAAP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777"/>
        <w:gridCol w:w="1356"/>
        <w:gridCol w:w="1230"/>
        <w:gridCol w:w="240"/>
        <w:gridCol w:w="820"/>
        <w:gridCol w:w="123"/>
        <w:gridCol w:w="109"/>
        <w:gridCol w:w="109"/>
        <w:gridCol w:w="109"/>
        <w:gridCol w:w="240"/>
        <w:gridCol w:w="820"/>
        <w:gridCol w:w="123"/>
        <w:gridCol w:w="109"/>
        <w:gridCol w:w="109"/>
        <w:gridCol w:w="109"/>
        <w:gridCol w:w="231"/>
        <w:gridCol w:w="908"/>
        <w:gridCol w:w="119"/>
        <w:gridCol w:w="109"/>
        <w:gridCol w:w="109"/>
        <w:gridCol w:w="109"/>
        <w:gridCol w:w="239"/>
        <w:gridCol w:w="816"/>
        <w:gridCol w:w="182"/>
      </w:tblGrid>
      <w:tr>
        <w:tc>
          <w:tcPr>
            <w:tcW w:w="177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acquisition, and restructuring costs, including amortization of acquired intangibles and excluding stock-based compensation expense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refinancing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Litigation expense </w:t>
            </w:r>
            <w:r>
              <w:rPr>
                <w:rFonts w:ascii="Times New Roman;serif" w:hAnsi="Times New Roman;serif"/>
                <w:b w:val="false"/>
                <w:color w:val="000000"/>
                <w:sz w:val="13"/>
              </w:rPr>
              <w:t>(1)</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Non-operational real estate and other expense,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Convertible Senior Notes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Tax effect of Non-GAAP adjustments </w:t>
            </w:r>
            <w:r>
              <w:rPr>
                <w:rFonts w:ascii="Times New Roman;serif" w:hAnsi="Times New Roman;serif"/>
                <w:b w:val="false"/>
                <w:color w:val="000000"/>
                <w:sz w:val="13"/>
              </w:rPr>
              <w:t>(2)</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3266"/>
        <w:gridCol w:w="2868"/>
        <w:gridCol w:w="4071"/>
      </w:tblGrid>
      <w:t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Litigation expense includes professional and legal expenses related to the Google Action and defense costs relating to class action privacy litigation. For additional information, see the "Regulatory Developments and Google Litigation" section and Part II, Item 1. "Legal Proceedings" within our Quarterly Report on Form 10-Q for the period ended September 30, 2026. </w:t>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 xml:space="preserve">(2) </w:t>
            </w:r>
            <w:r>
              <w:rPr>
                <w:rFonts w:ascii="Times New Roman;serif" w:hAnsi="Times New Roman;serif"/>
                <w:b w:val="false"/>
                <w:color w:val="000000"/>
                <w:sz w:val="16"/>
              </w:rPr>
              <w:t>Non-GAAP income includes the estimated tax impact from the reconciling items between net income and non-GAAP income. </w:t>
            </w:r>
          </w:p>
        </w:tc>
      </w:tr>
    </w:tbl>
    <w:p>
      <w:pPr>
        <w:pStyle w:val="TextBody"/>
        <w:bidi w:val="0"/>
        <w:spacing w:before="0" w:after="0"/>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EARNINGS PER SHARE TO NON-GAAP EARNINGS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553"/>
        <w:gridCol w:w="1192"/>
        <w:gridCol w:w="1168"/>
        <w:gridCol w:w="269"/>
        <w:gridCol w:w="888"/>
        <w:gridCol w:w="149"/>
        <w:gridCol w:w="109"/>
        <w:gridCol w:w="109"/>
        <w:gridCol w:w="109"/>
        <w:gridCol w:w="269"/>
        <w:gridCol w:w="888"/>
        <w:gridCol w:w="149"/>
        <w:gridCol w:w="109"/>
        <w:gridCol w:w="109"/>
        <w:gridCol w:w="109"/>
        <w:gridCol w:w="252"/>
        <w:gridCol w:w="950"/>
        <w:gridCol w:w="140"/>
        <w:gridCol w:w="109"/>
        <w:gridCol w:w="109"/>
        <w:gridCol w:w="109"/>
        <w:gridCol w:w="266"/>
        <w:gridCol w:w="876"/>
        <w:gridCol w:w="215"/>
      </w:tblGrid>
      <w:tr>
        <w:tc>
          <w:tcPr>
            <w:tcW w:w="15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GAAP earnings per share</w:t>
            </w:r>
            <w:r>
              <w:rPr>
                <w:color w:val="000000"/>
              </w:rPr>
              <w:t xml:space="preserve"> </w:t>
            </w:r>
            <w:r>
              <w:rPr>
                <w:rFonts w:ascii="Times New Roman;serif" w:hAnsi="Times New Roman;serif"/>
                <w:b w:val="false"/>
                <w:color w:val="000000"/>
                <w:sz w:val="12"/>
              </w:rPr>
              <w:t>(1)</w:t>
            </w:r>
            <w:r>
              <w:rPr>
                <w:rFonts w:ascii="Times New Roman;serif" w:hAnsi="Times New Roman;serif"/>
                <w:b w:val="false"/>
                <w:color w:val="000000"/>
                <w:sz w:val="18"/>
              </w:rPr>
              <w:t>:</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Non-GAAP income </w:t>
            </w:r>
            <w:r>
              <w:rPr>
                <w:rFonts w:ascii="Times New Roman;serif" w:hAnsi="Times New Roman;serif"/>
                <w:b w:val="false"/>
                <w:color w:val="000000"/>
                <w:sz w:val="12"/>
              </w:rPr>
              <w:t>(2)</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earnings per share</w:t>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basic earnings per share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142,176 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weighted-average common stock options, RSUs, and PSUs</w:t>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7,206 </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10,105 </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weighted-average ESPP shares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weighted-average Convertible Senior Notes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weighted-average shares outstanding</w:t>
            </w:r>
          </w:p>
        </w:tc>
        <w:tc>
          <w:tcPr>
            <w:tcW w:w="11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150,805 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156,376 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153,726 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7"/>
        <w:gridCol w:w="2872"/>
        <w:gridCol w:w="4066"/>
      </w:tblGrid>
      <w:t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Calculated as net income divided by basic and diluted weighted-average shares used to compute basic and diluted earnings per share as included in the condensed consolidated statement of operations.</w:t>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pPr>
            <w:r>
              <w:rPr>
                <w:rFonts w:ascii="Times New Roman;serif" w:hAnsi="Times New Roman;serif"/>
                <w:b w:val="false"/>
                <w:color w:val="000000"/>
                <w:sz w:val="10"/>
              </w:rPr>
              <w:t xml:space="preserve">(2) </w:t>
            </w:r>
            <w:r>
              <w:rPr>
                <w:rFonts w:ascii="Times New Roman;serif" w:hAnsi="Times New Roman;serif"/>
                <w:b w:val="false"/>
                <w:color w:val="000000"/>
                <w:sz w:val="16"/>
              </w:rPr>
              <w:t>Refer to reconciliation of net income to non-GAAP income.</w:t>
            </w:r>
          </w:p>
        </w:tc>
      </w:tr>
      <w:t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CONTRIBUTION EX-TAC BY CHANNEL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677" w:type="dxa"/>
        <w:jc w:val="center"/>
        <w:tblInd w:w="0" w:type="dxa"/>
        <w:tblLayout w:type="fixed"/>
        <w:tblCellMar>
          <w:top w:w="28" w:type="dxa"/>
          <w:left w:w="28" w:type="dxa"/>
          <w:bottom w:w="28" w:type="dxa"/>
          <w:right w:w="28" w:type="dxa"/>
        </w:tblCellMar>
      </w:tblPr>
      <w:tblGrid>
        <w:gridCol w:w="294"/>
        <w:gridCol w:w="258"/>
        <w:gridCol w:w="25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Times New Roman;serif" w:hAnsi="Times New Roman;serif"/>
                <w:b/>
                <w:color w:val="000000"/>
                <w:sz w:val="16"/>
              </w:rPr>
            </w:pPr>
            <w:r>
              <w:rPr>
                <w:rFonts w:ascii="Times New Roman;serif" w:hAnsi="Times New Roman;serif"/>
                <w:b/>
                <w:color w:val="000000"/>
                <w:sz w:val="16"/>
              </w:rPr>
              <w:t>Contribution ex-TAC</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8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7656" w:type="dxa"/>
            <w:gridSpan w:val="36"/>
            <w:tcBorders/>
          </w:tcPr>
          <w:p>
            <w:pPr>
              <w:pStyle w:val="TableContents"/>
              <w:bidi w:val="0"/>
              <w:spacing w:before="0" w:after="283"/>
              <w:jc w:val="left"/>
              <w:rPr>
                <w:sz w:val="4"/>
                <w:szCs w:val="4"/>
              </w:rPr>
            </w:pPr>
            <w:r>
              <w:rPr>
                <w:sz w:val="4"/>
                <w:szCs w:val="4"/>
              </w:rPr>
            </w:r>
          </w:p>
        </w:tc>
      </w:tr>
      <w:t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5301</Words>
  <Characters>30778</Characters>
  <CharactersWithSpaces>35425</CharactersWithSpaces>
  <Paragraphs>1189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